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Secondary Evidence a matter involving property preservation or recovery</w:t>
      </w:r>
    </w:p>
    <w:p>
      <w:pPr>
        <w:spacing w:before="0" w:after="160" w:line="269" w:lineRule="auto"/>
        <w:jc w:val="center"/>
      </w:pPr>
      <w:r>
        <w:rPr>
          <w:rFonts w:ascii="Times New Roman" w:hAnsi="Times New Roman"/>
          <w:b w:val="0"/>
          <w:i w:val="0"/>
          <w:color w:val="000000"/>
          <w:sz w:val="18"/>
        </w:rPr>
        <w:t>BSA Law drafts  |  Secondary Evidence  |  Resource ID LAW-03-05-054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property preservation or recovery. Describe the property precisely, trace possession or control, and record any competing claim or encumbrance.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Interim or protective request</w:t>
      </w:r>
    </w:p>
    <w:p>
      <w:pPr>
        <w:spacing w:before="0" w:after="100" w:line="269" w:lineRule="auto"/>
      </w:pPr>
      <w:r>
        <w:rPr>
          <w:rFonts w:ascii="Times New Roman" w:hAnsi="Times New Roman"/>
          <w:b w:val="0"/>
          <w:i w:val="0"/>
          <w:color w:val="000000"/>
          <w:sz w:val="22"/>
        </w:rPr>
        <w:t>Pending final consideration, the Applicant requests [EXACT TEMPORARY DIRECTION]. The identified risk is [RISK], the likely prejudice is [PREJUDICE], and the proposed safeguard for affected persons is [SAFEGUARD OR UNDERTAKING].</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LAW-03-05-054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Secondary Evidence a matter involving property preservation or recovery</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